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4C" w:rsidRDefault="00E21ED5">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Rabba Wendy Amsellem</w:t>
      </w:r>
    </w:p>
    <w:p w:rsidR="005D5C4C" w:rsidRDefault="005B027A">
      <w:pPr>
        <w:jc w:val="right"/>
        <w:rPr>
          <w:rFonts w:ascii="Times New Roman" w:eastAsia="Times New Roman" w:hAnsi="Times New Roman" w:cs="Times New Roman"/>
          <w:sz w:val="16"/>
          <w:szCs w:val="16"/>
        </w:rPr>
      </w:pPr>
      <w:hyperlink r:id="rId8">
        <w:r w:rsidR="00E21ED5">
          <w:rPr>
            <w:rFonts w:ascii="Times New Roman" w:eastAsia="Times New Roman" w:hAnsi="Times New Roman" w:cs="Times New Roman"/>
            <w:color w:val="1155CC"/>
            <w:sz w:val="16"/>
            <w:szCs w:val="16"/>
            <w:u w:val="single"/>
          </w:rPr>
          <w:t>wamsellem@yeshivatmaharat.org</w:t>
        </w:r>
      </w:hyperlink>
    </w:p>
    <w:p w:rsidR="005D5C4C" w:rsidRDefault="00E21ED5">
      <w:pPr>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Limmud UK 2022</w:t>
      </w:r>
    </w:p>
    <w:p w:rsidR="005D5C4C" w:rsidRDefault="00E21ED5">
      <w:pPr>
        <w:bidi/>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D5C4C" w:rsidRDefault="00E21ED5">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On the Precipice of Disaster</w:t>
      </w:r>
    </w:p>
    <w:p w:rsidR="005D5C4C" w:rsidRDefault="005D5C4C">
      <w:pPr>
        <w:jc w:val="center"/>
        <w:rPr>
          <w:rFonts w:ascii="Times New Roman" w:eastAsia="Times New Roman" w:hAnsi="Times New Roman" w:cs="Times New Roman"/>
          <w:b/>
          <w:sz w:val="24"/>
          <w:szCs w:val="24"/>
        </w:rPr>
      </w:pPr>
    </w:p>
    <w:p w:rsidR="005D5C4C" w:rsidRDefault="00E21ED5">
      <w:pPr>
        <w:numPr>
          <w:ilvl w:val="0"/>
          <w:numId w:val="1"/>
        </w:num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Shulchan Aruch Orach Chaim 141:2</w:t>
      </w:r>
    </w:p>
    <w:p w:rsidR="005D5C4C" w:rsidRDefault="005D5C4C">
      <w:pPr>
        <w:bidi/>
        <w:rPr>
          <w:rFonts w:ascii="Times New Roman" w:eastAsia="Times New Roman" w:hAnsi="Times New Roman" w:cs="Times New Roman"/>
          <w:b/>
          <w:sz w:val="24"/>
          <w:szCs w:val="24"/>
        </w:rPr>
      </w:pPr>
    </w:p>
    <w:tbl>
      <w:tblPr>
        <w:tblStyle w:val="a"/>
        <w:bidiVisual/>
        <w:tblW w:w="997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375"/>
      </w:tblGrid>
      <w:tr w:rsidR="005D5C4C">
        <w:tc>
          <w:tcPr>
            <w:tcW w:w="3600"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sz w:val="24"/>
                <w:szCs w:val="24"/>
              </w:rPr>
            </w:pPr>
            <w:r>
              <w:rPr>
                <w:rFonts w:ascii="Times New Roman" w:eastAsia="Times New Roman" w:hAnsi="Times New Roman" w:cs="Times New Roman"/>
                <w:sz w:val="24"/>
                <w:szCs w:val="24"/>
                <w:rtl/>
              </w:rPr>
              <w:t>(ב) לֹא יִקְרְאוּ שְׁנַיִם, אֶלָּא הָעוֹלֶה קוֹרֵא וּשְׁלִיחַ צִבּוּר שׁוֹתֵק, אוֹ שְׁלִיחַ צִבּוּר קוֹרֵא וְהָעוֹלֶה לֹא יִקְרָא בְּקוֹל רָם . . .</w:t>
            </w:r>
          </w:p>
          <w:p w:rsidR="005D5C4C" w:rsidRDefault="005D5C4C">
            <w:pPr>
              <w:widowControl w:val="0"/>
              <w:pBdr>
                <w:top w:val="nil"/>
                <w:left w:val="nil"/>
                <w:bottom w:val="nil"/>
                <w:right w:val="nil"/>
                <w:between w:val="nil"/>
              </w:pBdr>
              <w:bidi/>
              <w:spacing w:line="240" w:lineRule="auto"/>
              <w:rPr>
                <w:rFonts w:ascii="Times New Roman" w:eastAsia="Times New Roman" w:hAnsi="Times New Roman" w:cs="Times New Roman"/>
                <w:b/>
                <w:sz w:val="24"/>
                <w:szCs w:val="24"/>
              </w:rPr>
            </w:pPr>
          </w:p>
        </w:tc>
        <w:tc>
          <w:tcPr>
            <w:tcW w:w="6375"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Two people may not read together, rather the one who was called up should read and the prayer leader should be quiet, or the prayer leader should read and the one who got called up should not read it out loud.</w:t>
            </w:r>
          </w:p>
        </w:tc>
      </w:tr>
    </w:tbl>
    <w:p w:rsidR="005D5C4C" w:rsidRDefault="005D5C4C">
      <w:pPr>
        <w:bidi/>
        <w:rPr>
          <w:rFonts w:ascii="Times New Roman" w:eastAsia="Times New Roman" w:hAnsi="Times New Roman" w:cs="Times New Roman"/>
          <w:sz w:val="24"/>
          <w:szCs w:val="24"/>
        </w:rPr>
      </w:pPr>
    </w:p>
    <w:p w:rsidR="005D5C4C" w:rsidRDefault="00E21ED5">
      <w:pPr>
        <w:numPr>
          <w:ilvl w:val="0"/>
          <w:numId w:val="1"/>
        </w:numPr>
        <w:jc w:val="center"/>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Mishnah Berurah on Shulchan Aruch Orach Chaim 141:2</w:t>
      </w:r>
    </w:p>
    <w:p w:rsidR="005D5C4C" w:rsidRDefault="005D5C4C">
      <w:pPr>
        <w:bidi/>
        <w:rPr>
          <w:rFonts w:ascii="Times New Roman" w:eastAsia="Times New Roman" w:hAnsi="Times New Roman" w:cs="Times New Roman"/>
          <w:color w:val="0000FF"/>
          <w:sz w:val="24"/>
          <w:szCs w:val="24"/>
        </w:rPr>
      </w:pPr>
    </w:p>
    <w:tbl>
      <w:tblPr>
        <w:tblStyle w:val="a0"/>
        <w:bidiVisual/>
        <w:tblW w:w="1005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6330"/>
      </w:tblGrid>
      <w:tr w:rsidR="005D5C4C">
        <w:tc>
          <w:tcPr>
            <w:tcW w:w="3720"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tl/>
              </w:rPr>
              <w:t xml:space="preserve">(ח) או ש"ץ קורא וכו' </w:t>
            </w:r>
            <w:r>
              <w:rPr>
                <w:rFonts w:ascii="Times New Roman" w:eastAsia="Times New Roman" w:hAnsi="Times New Roman" w:cs="Times New Roman"/>
                <w:color w:val="0000FF"/>
                <w:sz w:val="24"/>
                <w:szCs w:val="24"/>
                <w:rtl/>
              </w:rPr>
              <w:t>– וכמנהגנו עכשיו שלעולם הש"ץ קורא אפילו כשהעולה הוא בקי כדי שלא לבייש את מי שאינו יודע לקרות וגם ימצאו הרבה שאין יודעין בטוב לקרות הנקודות והטעמים וירצו לקרות והצבור אין יוצאין בקריאתן וכשימנעום מקריאה אתו לאינצויי:</w:t>
            </w:r>
          </w:p>
        </w:tc>
        <w:tc>
          <w:tcPr>
            <w:tcW w:w="6330"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or the prayer leader should read</w:t>
            </w:r>
            <w:r>
              <w:rPr>
                <w:rFonts w:ascii="Times New Roman" w:eastAsia="Times New Roman" w:hAnsi="Times New Roman" w:cs="Times New Roman"/>
                <w:color w:val="0000FF"/>
                <w:sz w:val="24"/>
                <w:szCs w:val="24"/>
              </w:rPr>
              <w:t xml:space="preserve"> - and our custom now is that the prayer leader always reads, even when the one who is called up for the aliyah is an expert, so as not to embarrass those who do not know how to read. And we find many who do not know how to read well with proper vocalization and cantillation and they will want to read but the congregation cannot fulfill its obligation through the reading and if they are prevented from reading, fights will break out.</w:t>
            </w:r>
          </w:p>
        </w:tc>
      </w:tr>
    </w:tbl>
    <w:p w:rsidR="005D5C4C" w:rsidRDefault="005D5C4C">
      <w:pPr>
        <w:bidi/>
        <w:rPr>
          <w:rFonts w:ascii="Times New Roman" w:eastAsia="Times New Roman" w:hAnsi="Times New Roman" w:cs="Times New Roman"/>
          <w:color w:val="0000FF"/>
          <w:sz w:val="24"/>
          <w:szCs w:val="24"/>
        </w:rPr>
      </w:pPr>
    </w:p>
    <w:p w:rsidR="005D5C4C" w:rsidRDefault="00E21ED5">
      <w:pPr>
        <w:numPr>
          <w:ilvl w:val="0"/>
          <w:numId w:val="1"/>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Shulchan Aruch Orach Chaim 135:3</w:t>
      </w:r>
    </w:p>
    <w:p w:rsidR="005D5C4C" w:rsidRDefault="005D5C4C">
      <w:pPr>
        <w:bidi/>
        <w:rPr>
          <w:rFonts w:ascii="Times New Roman" w:eastAsia="Times New Roman" w:hAnsi="Times New Roman" w:cs="Times New Roman"/>
          <w:b/>
          <w:sz w:val="24"/>
          <w:szCs w:val="24"/>
        </w:rPr>
      </w:pPr>
    </w:p>
    <w:tbl>
      <w:tblPr>
        <w:tblStyle w:val="a1"/>
        <w:bidiVisual/>
        <w:tblW w:w="1014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040"/>
      </w:tblGrid>
      <w:tr w:rsidR="005D5C4C">
        <w:tc>
          <w:tcPr>
            <w:tcW w:w="5100"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b/>
                <w:sz w:val="24"/>
                <w:szCs w:val="24"/>
              </w:rPr>
            </w:pPr>
            <w:r>
              <w:rPr>
                <w:rFonts w:ascii="Times New Roman" w:eastAsia="Times New Roman" w:hAnsi="Times New Roman" w:cs="Times New Roman"/>
                <w:sz w:val="24"/>
                <w:szCs w:val="24"/>
                <w:rtl/>
              </w:rPr>
              <w:t>(ג) כֹּהֵן קוֹרֵא בַּתּוֹרָה רִאשׁוֹן, וְאַחֲרָיו לֵוִי, וְאַחֲרָיו יִשְׂרָאֵל.</w:t>
            </w:r>
          </w:p>
        </w:tc>
        <w:tc>
          <w:tcPr>
            <w:tcW w:w="5040"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 Kohen reads first from the Torah, followed by a Levite, followed by Israel.</w:t>
            </w:r>
          </w:p>
        </w:tc>
      </w:tr>
    </w:tbl>
    <w:p w:rsidR="005D5C4C" w:rsidRDefault="005D5C4C">
      <w:pPr>
        <w:rPr>
          <w:rFonts w:ascii="Times New Roman" w:eastAsia="Times New Roman" w:hAnsi="Times New Roman" w:cs="Times New Roman"/>
          <w:sz w:val="24"/>
          <w:szCs w:val="24"/>
        </w:rPr>
      </w:pPr>
    </w:p>
    <w:p w:rsidR="005D5C4C" w:rsidRDefault="00E21ED5">
      <w:pPr>
        <w:numPr>
          <w:ilvl w:val="0"/>
          <w:numId w:val="1"/>
        </w:numPr>
        <w:jc w:val="center"/>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Mishnah Berurah on Shulchan Aruch Orach Chaim 135:3</w:t>
      </w:r>
    </w:p>
    <w:p w:rsidR="005D5C4C" w:rsidRDefault="005D5C4C">
      <w:pPr>
        <w:bidi/>
        <w:rPr>
          <w:rFonts w:ascii="Times New Roman" w:eastAsia="Times New Roman" w:hAnsi="Times New Roman" w:cs="Times New Roman"/>
          <w:b/>
          <w:color w:val="0000FF"/>
          <w:sz w:val="24"/>
          <w:szCs w:val="24"/>
        </w:rPr>
      </w:pPr>
    </w:p>
    <w:tbl>
      <w:tblPr>
        <w:tblStyle w:val="a2"/>
        <w:bidiVisual/>
        <w:tblW w:w="10185"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6510"/>
      </w:tblGrid>
      <w:tr w:rsidR="005D5C4C">
        <w:tc>
          <w:tcPr>
            <w:tcW w:w="3675"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tl/>
              </w:rPr>
              <w:t xml:space="preserve">(ט) כהן קורא בתורה ראשון – </w:t>
            </w:r>
            <w:r>
              <w:rPr>
                <w:rFonts w:ascii="Times New Roman" w:eastAsia="Times New Roman" w:hAnsi="Times New Roman" w:cs="Times New Roman"/>
                <w:color w:val="0000FF"/>
                <w:sz w:val="24"/>
                <w:szCs w:val="24"/>
                <w:rtl/>
              </w:rPr>
              <w:t xml:space="preserve">דכתיב וקדשתו וקבלו חז"ל שר"ל לכל דבר שבקדושה לפתוח ראשון ולברך ראשון וליטול מנה יפה ראשון ומ"מ אם רצה הכהן לחלוק כבוד לרבו או למי שגדול ממנו הרשות בידו אבל לענין לקרות בתורה בביהכ"נ תקנו חז"ל מפני דרכי שלום שאין </w:t>
            </w:r>
            <w:r>
              <w:rPr>
                <w:rFonts w:ascii="Times New Roman" w:eastAsia="Times New Roman" w:hAnsi="Times New Roman" w:cs="Times New Roman"/>
                <w:color w:val="0000FF"/>
                <w:sz w:val="24"/>
                <w:szCs w:val="24"/>
                <w:rtl/>
              </w:rPr>
              <w:lastRenderedPageBreak/>
              <w:t>הכהן והלוי יכולין למחול אלא דוקא כהן קורא ראשון ואחריו לוי ואחריו ישראל כדי שלא יבוא הדבר לידי מחלוקת שכ"א יאמר אני גדול ואקרא ראשון. ואין חילוק בין שבת ויו"ט לשני וחמישי ושאר זמנים שקוראין בהן [פמ"ג]</w:t>
            </w:r>
          </w:p>
        </w:tc>
        <w:tc>
          <w:tcPr>
            <w:tcW w:w="6510"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b/>
                <w:color w:val="0000FF"/>
                <w:sz w:val="24"/>
                <w:szCs w:val="24"/>
              </w:rPr>
            </w:pPr>
            <w:r>
              <w:rPr>
                <w:rFonts w:ascii="Times New Roman" w:eastAsia="Times New Roman" w:hAnsi="Times New Roman" w:cs="Times New Roman"/>
                <w:color w:val="0000FF"/>
                <w:sz w:val="24"/>
                <w:szCs w:val="24"/>
              </w:rPr>
              <w:lastRenderedPageBreak/>
              <w:t xml:space="preserve">A Kohen reads first from the Torah- As it is written, And you will sanctify him. And our sages teach that this means that [the cohen is first] in all holy matters, to begin first and to bless first and to take a good portion first, but in any event if the cohen wishes to pass the honor to his teacher or to someone greater than he, he is allowed. But regarding the Torah reading in the synagogue, our sages instituted that to preserve the peace, a </w:t>
            </w:r>
            <w:r>
              <w:rPr>
                <w:rFonts w:ascii="Times New Roman" w:eastAsia="Times New Roman" w:hAnsi="Times New Roman" w:cs="Times New Roman"/>
                <w:color w:val="0000FF"/>
                <w:sz w:val="24"/>
                <w:szCs w:val="24"/>
              </w:rPr>
              <w:lastRenderedPageBreak/>
              <w:t>Cohen and a Levi may not forgive their honors, but rather a Cohen always reads first and after him a Levi and after him an Israelite, so that the matter not lead to strife, with each one saying, “I am greater. I should read first.” And in this regard there is no difference between the Torah reading on Shabbat and on holidays and on Mondays and Thursdays and any other days on which the Torah is read.</w:t>
            </w:r>
          </w:p>
        </w:tc>
      </w:tr>
    </w:tbl>
    <w:p w:rsidR="005D5C4C" w:rsidRDefault="005D5C4C">
      <w:pPr>
        <w:bidi/>
        <w:rPr>
          <w:rFonts w:ascii="Times New Roman" w:eastAsia="Times New Roman" w:hAnsi="Times New Roman" w:cs="Times New Roman"/>
          <w:color w:val="0000FF"/>
          <w:sz w:val="24"/>
          <w:szCs w:val="24"/>
        </w:rPr>
      </w:pPr>
    </w:p>
    <w:p w:rsidR="005D5C4C" w:rsidRDefault="00E21ED5">
      <w:pPr>
        <w:numPr>
          <w:ilvl w:val="0"/>
          <w:numId w:val="1"/>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Shulchan Aruch Orach Chaim 135:2</w:t>
      </w:r>
    </w:p>
    <w:p w:rsidR="005D5C4C" w:rsidRDefault="005D5C4C">
      <w:pPr>
        <w:bidi/>
        <w:rPr>
          <w:rFonts w:ascii="Times New Roman" w:eastAsia="Times New Roman" w:hAnsi="Times New Roman" w:cs="Times New Roman"/>
          <w:b/>
          <w:sz w:val="24"/>
          <w:szCs w:val="24"/>
        </w:rPr>
      </w:pPr>
    </w:p>
    <w:tbl>
      <w:tblPr>
        <w:tblStyle w:val="a3"/>
        <w:bidiVisual/>
        <w:tblW w:w="10260"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6540"/>
      </w:tblGrid>
      <w:tr w:rsidR="005D5C4C">
        <w:tc>
          <w:tcPr>
            <w:tcW w:w="3720"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b/>
                <w:sz w:val="24"/>
                <w:szCs w:val="24"/>
              </w:rPr>
            </w:pPr>
            <w:r>
              <w:rPr>
                <w:rFonts w:ascii="Times New Roman" w:eastAsia="Times New Roman" w:hAnsi="Times New Roman" w:cs="Times New Roman"/>
                <w:sz w:val="24"/>
                <w:szCs w:val="24"/>
                <w:rtl/>
              </w:rPr>
              <w:t>(ב) מָקוֹם שֶׁמַּפְסִיקִין בְּשַׁבָּת בְּשַׁחֲרִית, שָׁם קוֹרִין בְּמִנְחָה, וּבְשֵׁנִי וּבַחֲמִישִׁי, וּבְשַׁבָּת הַבָּאָה. {הַגָּה: אִם בִּטְּלוּ שַׁבָּת אַחַת קְרִיאַת הַפָּרָשָׁה בְּצִבּוּר, לְשַׁבָּת הַבָּאָה קוֹרִין אוֹתָהּ פָּרָשָׁה עִם פָּרָשָׁה הַשַּׁיָּכָה לְאוֹתָהּ שַׁבָּת (אוֹר זָרוּעַ) וְעַיֵּן לְקַמָּן סי' רצ"ב (רפ"ב לְעִנְיָן הוֹסָפָה).}</w:t>
            </w:r>
          </w:p>
        </w:tc>
        <w:tc>
          <w:tcPr>
            <w:tcW w:w="6540"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The place that we stop [reading from the Torah] on Shabbat during Shacharit, from there we [start to] read on [Shabbat] Minchah, and on Monday, Thursday, and on the following Shabbat [morning]. Rem"a: If they missed out on Shabbat from the public reading of the parasha, then the following Shabbat they read that parasha (i.e. the missed one) along with the parasha belonging to that (i.e. the following) Shabbat</w:t>
            </w:r>
          </w:p>
        </w:tc>
      </w:tr>
    </w:tbl>
    <w:p w:rsidR="005D5C4C" w:rsidRDefault="005D5C4C">
      <w:pPr>
        <w:rPr>
          <w:rFonts w:ascii="Times New Roman" w:eastAsia="Times New Roman" w:hAnsi="Times New Roman" w:cs="Times New Roman"/>
          <w:sz w:val="24"/>
          <w:szCs w:val="24"/>
        </w:rPr>
      </w:pPr>
    </w:p>
    <w:p w:rsidR="005D5C4C" w:rsidRDefault="00E21ED5">
      <w:pPr>
        <w:numPr>
          <w:ilvl w:val="0"/>
          <w:numId w:val="1"/>
        </w:numPr>
        <w:jc w:val="center"/>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Mishnah Berurah on Shulchan Aruch Orach Chaim 135:2</w:t>
      </w:r>
    </w:p>
    <w:p w:rsidR="005D5C4C" w:rsidRDefault="005D5C4C">
      <w:pPr>
        <w:bidi/>
        <w:rPr>
          <w:rFonts w:ascii="Times New Roman" w:eastAsia="Times New Roman" w:hAnsi="Times New Roman" w:cs="Times New Roman"/>
          <w:b/>
          <w:color w:val="0000FF"/>
          <w:sz w:val="24"/>
          <w:szCs w:val="24"/>
        </w:rPr>
      </w:pPr>
    </w:p>
    <w:tbl>
      <w:tblPr>
        <w:tblStyle w:val="a4"/>
        <w:bidiVisual/>
        <w:tblW w:w="1015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6480"/>
      </w:tblGrid>
      <w:tr w:rsidR="005D5C4C">
        <w:tc>
          <w:tcPr>
            <w:tcW w:w="3675"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tl/>
              </w:rPr>
              <w:t>אם בטלו וכו'</w:t>
            </w:r>
            <w:r>
              <w:rPr>
                <w:rFonts w:ascii="Times New Roman" w:eastAsia="Times New Roman" w:hAnsi="Times New Roman" w:cs="Times New Roman"/>
                <w:color w:val="0000FF"/>
                <w:sz w:val="24"/>
                <w:szCs w:val="24"/>
                <w:rtl/>
              </w:rPr>
              <w:t xml:space="preserve"> – מחמת קטטה וכדומה ומיירי שלא קראו כל היום אבל אם בטלו רק בשחרית הקריאה ובמנחה כבר מצאו מנוחה אם יש פנאי לקרות כל הסדרה יקראו במנחה כל הסדרה ויקראו שבעה גברי כי כל יום השבת הוא זמן הקריאה אבל אם גם במנחה לא היה מנוחה לא יקראו בשני או בחמישי כל הסדרה משבת העבר כי בחול יש בטול מלאכה לעם אלא יקראו רק הפרשה מן הסדר של שבת הבא ולא מן שבת העבר [דגמ"ר ע"ש מילתא בטעמא]:</w:t>
            </w:r>
          </w:p>
        </w:tc>
        <w:tc>
          <w:tcPr>
            <w:tcW w:w="6480"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If they missed out </w:t>
            </w:r>
            <w:r>
              <w:rPr>
                <w:rFonts w:ascii="Times New Roman" w:eastAsia="Times New Roman" w:hAnsi="Times New Roman" w:cs="Times New Roman"/>
                <w:color w:val="0000FF"/>
                <w:sz w:val="24"/>
                <w:szCs w:val="24"/>
              </w:rPr>
              <w:t xml:space="preserve">- because of arguing and other such things. And we are discussing here if they did not read the Torah for all of Shabbat. But if they did not read the Torah on Shabbat morning, but by mincha they had found peace, if there is time to read the whole parasha, they should read the whole parasha at mincha with seven aliyot because all of Shabbat day is suitable for Torah reading. But if even by mincha they had not found peace, they should not read the whole parsha from the previous Shabbat on Monday or Thursday, because on weekdays that would be keeping people from work, rather [on Monday and Thursday] they should read from the parasha of the next week. </w:t>
            </w:r>
          </w:p>
        </w:tc>
      </w:tr>
    </w:tbl>
    <w:p w:rsidR="005D5C4C" w:rsidRDefault="005D5C4C">
      <w:pPr>
        <w:bidi/>
        <w:rPr>
          <w:rFonts w:ascii="Times New Roman" w:eastAsia="Times New Roman" w:hAnsi="Times New Roman" w:cs="Times New Roman"/>
          <w:color w:val="0000FF"/>
          <w:sz w:val="24"/>
          <w:szCs w:val="24"/>
        </w:rPr>
      </w:pPr>
    </w:p>
    <w:p w:rsidR="005D5C4C" w:rsidRDefault="00E21ED5">
      <w:pPr>
        <w:numPr>
          <w:ilvl w:val="0"/>
          <w:numId w:val="1"/>
        </w:num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Shulchan Aruch Orach Chaim 141:4</w:t>
      </w:r>
    </w:p>
    <w:p w:rsidR="005D5C4C" w:rsidRDefault="005D5C4C">
      <w:pPr>
        <w:bidi/>
        <w:rPr>
          <w:rFonts w:ascii="Times New Roman" w:eastAsia="Times New Roman" w:hAnsi="Times New Roman" w:cs="Times New Roman"/>
          <w:b/>
          <w:sz w:val="24"/>
          <w:szCs w:val="24"/>
        </w:rPr>
      </w:pPr>
    </w:p>
    <w:tbl>
      <w:tblPr>
        <w:tblStyle w:val="a5"/>
        <w:bidiVisual/>
        <w:tblW w:w="10110"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6165"/>
      </w:tblGrid>
      <w:tr w:rsidR="005D5C4C">
        <w:tc>
          <w:tcPr>
            <w:tcW w:w="3945"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b/>
                <w:sz w:val="24"/>
                <w:szCs w:val="24"/>
              </w:rPr>
            </w:pPr>
            <w:r>
              <w:rPr>
                <w:rFonts w:ascii="Times New Roman" w:eastAsia="Times New Roman" w:hAnsi="Times New Roman" w:cs="Times New Roman"/>
                <w:sz w:val="24"/>
                <w:szCs w:val="24"/>
                <w:rtl/>
              </w:rPr>
              <w:t>(ד) אִם שְׁלִיחַ צִבּוּר רוֹצֶה לְבָרֵךְ לְעַצְמוֹ וְלִקְרוֹת, צָרִיךְ שֶׁיַּעֲמֹד אַחֵר אֶצְלוֹ, שֶׁכְּשֵׁם שֶׁנִּתְּנָה תּוֹרָה עַל יְדֵי סַרְסוּר כָּךְ אָנוּ צְרִיכִים לִנְהֹג בָּהּ עַל יְדֵי סַרְסוּר</w:t>
            </w:r>
          </w:p>
        </w:tc>
        <w:tc>
          <w:tcPr>
            <w:tcW w:w="6165"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If the prayer leader wants to recite the blessing and read himself, someone else must stand next to him; because just like the Torah was given through a middleman, so too we need to have a middleman present.</w:t>
            </w:r>
          </w:p>
        </w:tc>
      </w:tr>
    </w:tbl>
    <w:p w:rsidR="005D5C4C" w:rsidRDefault="005D5C4C">
      <w:pPr>
        <w:bidi/>
        <w:rPr>
          <w:rFonts w:ascii="Times New Roman" w:eastAsia="Times New Roman" w:hAnsi="Times New Roman" w:cs="Times New Roman"/>
          <w:sz w:val="24"/>
          <w:szCs w:val="24"/>
        </w:rPr>
      </w:pPr>
    </w:p>
    <w:p w:rsidR="005D5C4C" w:rsidRDefault="00E21ED5">
      <w:pPr>
        <w:numPr>
          <w:ilvl w:val="0"/>
          <w:numId w:val="1"/>
        </w:numPr>
        <w:jc w:val="center"/>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Mishnah Berurah on Shulchan Aruch Orach Chaim 141:4</w:t>
      </w:r>
    </w:p>
    <w:p w:rsidR="005D5C4C" w:rsidRDefault="005D5C4C">
      <w:pPr>
        <w:bidi/>
        <w:rPr>
          <w:rFonts w:ascii="Times New Roman" w:eastAsia="Times New Roman" w:hAnsi="Times New Roman" w:cs="Times New Roman"/>
          <w:color w:val="0000FF"/>
          <w:sz w:val="24"/>
          <w:szCs w:val="24"/>
        </w:rPr>
      </w:pPr>
    </w:p>
    <w:tbl>
      <w:tblPr>
        <w:tblStyle w:val="a6"/>
        <w:bidiVisual/>
        <w:tblW w:w="10080" w:type="dxa"/>
        <w:tblInd w:w="-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6360"/>
      </w:tblGrid>
      <w:tr w:rsidR="005D5C4C">
        <w:tc>
          <w:tcPr>
            <w:tcW w:w="3720" w:type="dxa"/>
            <w:shd w:val="clear" w:color="auto" w:fill="auto"/>
            <w:tcMar>
              <w:top w:w="100" w:type="dxa"/>
              <w:left w:w="100" w:type="dxa"/>
              <w:bottom w:w="100" w:type="dxa"/>
              <w:right w:w="100" w:type="dxa"/>
            </w:tcMar>
          </w:tcPr>
          <w:p w:rsidR="005D5C4C" w:rsidRDefault="00E21ED5">
            <w:pPr>
              <w:bidi/>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tl/>
              </w:rPr>
              <w:t>לנהוג בה ע"י סרסור</w:t>
            </w:r>
            <w:r>
              <w:rPr>
                <w:rFonts w:ascii="Times New Roman" w:eastAsia="Times New Roman" w:hAnsi="Times New Roman" w:cs="Times New Roman"/>
                <w:color w:val="0000FF"/>
                <w:sz w:val="24"/>
                <w:szCs w:val="24"/>
                <w:rtl/>
              </w:rPr>
              <w:t xml:space="preserve"> – . . . ובאמת זהו מנהג הקדמונים שיהו שלשה עומדים אצל ס"ת כמו שכתוב במסכת סופרים פי"ד הי"ד [והובא זה באו"ז הלכות שבת] אלא ששם איתא טעם אחר לזה וז"ל אינו מן המובחר שיעמוד החזן יחידי לפני התיבה אלא שיעמדו עמו אחד לימינו ואחד לשמאלו כנגד האבות. כתב בספר שערי אפרים מזה יש ללמוד שיש לבחור לסגן איש נכבד ובעל מעש"ט ודעת הבריות נוחה הימנו שלא יחשדוהו שבשביל הנאת עצמו או איזה סיבה יתמוך כבוד למי שאינו ראוי או בהיפוך וכן ראוי לצבור שלא יהרהרו אחר הסגן וידונו אותו בכל ענין לכף זכות והדבר אשר יקשה בעיניהם עליו יתלו כי משגה היה וטעה בשקול הדעת ואף אם אירע שקרא לאחד שלא לפי כבודו וחושד להסגן שעשה במתכוין להכעיסו אם נגע יראת ה' בלבבו יש לו להתאפק ולא יאמר לו דבר וישא ק"ו בנפשו אם קרוץ מחומר תפעם רוחו בנגוע בקצה כבודו כחוט השערה עאכ"ו שיש לו לחוש לכבוד המקום ב"ה ולכבוד תורתו הקדושה שלא לעשות שערוריה עי"ז [והמעביר על מדותיו מעבירין לו על כל פשעיו] ואם אחד בגובה אפו עשה מריבה עם הסגן אעפ"כ חוב על הסגן להיות מן הנעלבים ולא יניח מקומו ואם הסגן הניח הס"ת והלך לו לפי שזה הקניטו בדברים ראוי לענשו כי אם אדם חטא ס"ת למה בייש . . .</w:t>
            </w:r>
          </w:p>
        </w:tc>
        <w:tc>
          <w:tcPr>
            <w:tcW w:w="6360" w:type="dxa"/>
            <w:shd w:val="clear" w:color="auto" w:fill="auto"/>
            <w:tcMar>
              <w:top w:w="100" w:type="dxa"/>
              <w:left w:w="100" w:type="dxa"/>
              <w:bottom w:w="100" w:type="dxa"/>
              <w:right w:w="100" w:type="dxa"/>
            </w:tcMar>
          </w:tcPr>
          <w:p w:rsidR="005D5C4C" w:rsidRDefault="00E21ED5">
            <w:pPr>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so too we need to have a middleman present.</w:t>
            </w:r>
            <w:r>
              <w:rPr>
                <w:rFonts w:ascii="Times New Roman" w:eastAsia="Times New Roman" w:hAnsi="Times New Roman" w:cs="Times New Roman"/>
                <w:color w:val="0000FF"/>
                <w:sz w:val="24"/>
                <w:szCs w:val="24"/>
              </w:rPr>
              <w:t xml:space="preserve"> . . and in truth this is the ancient custom of having three people standing with the sefer Torah as it is written in Masechet Sofrim, but there a different reason is given - it is not ideal for the </w:t>
            </w:r>
            <w:r>
              <w:rPr>
                <w:rFonts w:ascii="Times New Roman" w:eastAsia="Times New Roman" w:hAnsi="Times New Roman" w:cs="Times New Roman"/>
                <w:i/>
                <w:color w:val="0000FF"/>
                <w:sz w:val="24"/>
                <w:szCs w:val="24"/>
              </w:rPr>
              <w:t>chazan</w:t>
            </w:r>
            <w:r>
              <w:rPr>
                <w:rFonts w:ascii="Times New Roman" w:eastAsia="Times New Roman" w:hAnsi="Times New Roman" w:cs="Times New Roman"/>
                <w:color w:val="0000FF"/>
                <w:sz w:val="24"/>
                <w:szCs w:val="24"/>
              </w:rPr>
              <w:t xml:space="preserve"> to stand alone before the ark, but rather one person should stand on his right and one person should stand on his left, to symbolize the three patriarchs. It is written in </w:t>
            </w:r>
            <w:r>
              <w:rPr>
                <w:rFonts w:ascii="Times New Roman" w:eastAsia="Times New Roman" w:hAnsi="Times New Roman" w:cs="Times New Roman"/>
                <w:i/>
                <w:color w:val="0000FF"/>
                <w:sz w:val="24"/>
                <w:szCs w:val="24"/>
              </w:rPr>
              <w:t>Sha’arei Ephraim</w:t>
            </w:r>
            <w:r>
              <w:rPr>
                <w:rFonts w:ascii="Times New Roman" w:eastAsia="Times New Roman" w:hAnsi="Times New Roman" w:cs="Times New Roman"/>
                <w:color w:val="0000FF"/>
                <w:sz w:val="24"/>
                <w:szCs w:val="24"/>
              </w:rPr>
              <w:t xml:space="preserve"> that from this we learn that the gabbai should be a distinguished person, a doer of good deeds who is well-liked so that others will not suspect him of delegating honors to unworthy people, or the opposite [denying honors to worthy people] just to suit himself. And it is also fitting that the congregation not second guess him, but rather judge the [gabbai] favorably, and if they take issue with anything, they should assume [the gabbai made an] error. And if it happens that a person feels slighted by the gabbai and suspects that the gabbai insulted him deliberately, if that person is God-fearing, he should hold back and not complain to the gabbai and he should think the following </w:t>
            </w:r>
            <w:r>
              <w:rPr>
                <w:rFonts w:ascii="Times New Roman" w:eastAsia="Times New Roman" w:hAnsi="Times New Roman" w:cs="Times New Roman"/>
                <w:i/>
                <w:color w:val="0000FF"/>
                <w:sz w:val="24"/>
                <w:szCs w:val="24"/>
              </w:rPr>
              <w:t>kal va’chomer</w:t>
            </w:r>
            <w:r>
              <w:rPr>
                <w:rFonts w:ascii="Times New Roman" w:eastAsia="Times New Roman" w:hAnsi="Times New Roman" w:cs="Times New Roman"/>
                <w:color w:val="0000FF"/>
                <w:sz w:val="24"/>
                <w:szCs w:val="24"/>
              </w:rPr>
              <w:t xml:space="preserve"> about himself: If humans who are pinched from clay are so upset if their honor is violated even a smidgen, how much more so must we be concerned about the honor of God and the honor of God’s holy Torah and so not cause an outrage/fuss on this account. And one who forgives his honor has his sins forgiven. And if a person in the height of their anger starts a fight with the gabbai, even so it is the gabbai’s job to absorb the insult and remain in his place; and if the gabbai leaves the sefer Torah and goes to fight with the one who incited him with words, the gabbai should be punished for doing so, because even if a person has sinned, why should the Torah be disgraced?</w:t>
            </w:r>
          </w:p>
        </w:tc>
      </w:tr>
    </w:tbl>
    <w:p w:rsidR="005D5C4C" w:rsidRDefault="005D5C4C">
      <w:pPr>
        <w:bidi/>
        <w:rPr>
          <w:rFonts w:ascii="Times New Roman" w:eastAsia="Times New Roman" w:hAnsi="Times New Roman" w:cs="Times New Roman"/>
          <w:color w:val="0000FF"/>
          <w:sz w:val="24"/>
          <w:szCs w:val="24"/>
        </w:rPr>
      </w:pPr>
    </w:p>
    <w:p w:rsidR="005D5C4C" w:rsidRDefault="005D5C4C">
      <w:pPr>
        <w:rPr>
          <w:sz w:val="24"/>
          <w:szCs w:val="24"/>
        </w:rPr>
      </w:pPr>
    </w:p>
    <w:sectPr w:rsidR="005D5C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27A" w:rsidRDefault="005B027A">
      <w:pPr>
        <w:spacing w:line="240" w:lineRule="auto"/>
      </w:pPr>
      <w:r>
        <w:separator/>
      </w:r>
    </w:p>
  </w:endnote>
  <w:endnote w:type="continuationSeparator" w:id="0">
    <w:p w:rsidR="005B027A" w:rsidRDefault="005B0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A2" w:rsidRDefault="00422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825350"/>
      <w:docPartObj>
        <w:docPartGallery w:val="Page Numbers (Bottom of Page)"/>
        <w:docPartUnique/>
      </w:docPartObj>
    </w:sdtPr>
    <w:sdtEndPr>
      <w:rPr>
        <w:noProof/>
      </w:rPr>
    </w:sdtEndPr>
    <w:sdtContent>
      <w:bookmarkStart w:id="0" w:name="_GoBack" w:displacedByCustomXml="prev"/>
      <w:bookmarkEnd w:id="0" w:displacedByCustomXml="prev"/>
      <w:p w:rsidR="00422DA2" w:rsidRDefault="00422DA2">
        <w:pPr>
          <w:pStyle w:val="Footer"/>
        </w:pPr>
        <w:r>
          <w:fldChar w:fldCharType="begin"/>
        </w:r>
        <w:r>
          <w:instrText xml:space="preserve"> PAGE   \* MERGEFORMAT </w:instrText>
        </w:r>
        <w:r>
          <w:fldChar w:fldCharType="separate"/>
        </w:r>
        <w:r w:rsidR="005B027A">
          <w:rPr>
            <w:noProof/>
          </w:rPr>
          <w:t>1</w:t>
        </w:r>
        <w:r>
          <w:rPr>
            <w:noProof/>
          </w:rPr>
          <w:fldChar w:fldCharType="end"/>
        </w:r>
      </w:p>
    </w:sdtContent>
  </w:sdt>
  <w:p w:rsidR="005D5C4C" w:rsidRDefault="005D5C4C">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A2" w:rsidRDefault="00422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27A" w:rsidRDefault="005B027A">
      <w:pPr>
        <w:spacing w:line="240" w:lineRule="auto"/>
      </w:pPr>
      <w:r>
        <w:separator/>
      </w:r>
    </w:p>
  </w:footnote>
  <w:footnote w:type="continuationSeparator" w:id="0">
    <w:p w:rsidR="005B027A" w:rsidRDefault="005B02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A2" w:rsidRDefault="00422D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A2" w:rsidRDefault="00422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A2" w:rsidRDefault="00422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858C0"/>
    <w:multiLevelType w:val="multilevel"/>
    <w:tmpl w:val="2214CE3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5D5C4C"/>
    <w:rsid w:val="00422DA2"/>
    <w:rsid w:val="005B027A"/>
    <w:rsid w:val="005D5C4C"/>
    <w:rsid w:val="006D2984"/>
    <w:rsid w:val="00E21E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22DA2"/>
    <w:pPr>
      <w:tabs>
        <w:tab w:val="center" w:pos="4680"/>
        <w:tab w:val="right" w:pos="9360"/>
      </w:tabs>
      <w:spacing w:line="240" w:lineRule="auto"/>
    </w:pPr>
  </w:style>
  <w:style w:type="character" w:customStyle="1" w:styleId="HeaderChar">
    <w:name w:val="Header Char"/>
    <w:basedOn w:val="DefaultParagraphFont"/>
    <w:link w:val="Header"/>
    <w:uiPriority w:val="99"/>
    <w:rsid w:val="00422DA2"/>
  </w:style>
  <w:style w:type="paragraph" w:styleId="Footer">
    <w:name w:val="footer"/>
    <w:basedOn w:val="Normal"/>
    <w:link w:val="FooterChar"/>
    <w:uiPriority w:val="99"/>
    <w:unhideWhenUsed/>
    <w:rsid w:val="00422DA2"/>
    <w:pPr>
      <w:tabs>
        <w:tab w:val="center" w:pos="4680"/>
        <w:tab w:val="right" w:pos="9360"/>
      </w:tabs>
      <w:spacing w:line="240" w:lineRule="auto"/>
    </w:pPr>
  </w:style>
  <w:style w:type="character" w:customStyle="1" w:styleId="FooterChar">
    <w:name w:val="Footer Char"/>
    <w:basedOn w:val="DefaultParagraphFont"/>
    <w:link w:val="Footer"/>
    <w:uiPriority w:val="99"/>
    <w:rsid w:val="00422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22DA2"/>
    <w:pPr>
      <w:tabs>
        <w:tab w:val="center" w:pos="4680"/>
        <w:tab w:val="right" w:pos="9360"/>
      </w:tabs>
      <w:spacing w:line="240" w:lineRule="auto"/>
    </w:pPr>
  </w:style>
  <w:style w:type="character" w:customStyle="1" w:styleId="HeaderChar">
    <w:name w:val="Header Char"/>
    <w:basedOn w:val="DefaultParagraphFont"/>
    <w:link w:val="Header"/>
    <w:uiPriority w:val="99"/>
    <w:rsid w:val="00422DA2"/>
  </w:style>
  <w:style w:type="paragraph" w:styleId="Footer">
    <w:name w:val="footer"/>
    <w:basedOn w:val="Normal"/>
    <w:link w:val="FooterChar"/>
    <w:uiPriority w:val="99"/>
    <w:unhideWhenUsed/>
    <w:rsid w:val="00422DA2"/>
    <w:pPr>
      <w:tabs>
        <w:tab w:val="center" w:pos="4680"/>
        <w:tab w:val="right" w:pos="9360"/>
      </w:tabs>
      <w:spacing w:line="240" w:lineRule="auto"/>
    </w:pPr>
  </w:style>
  <w:style w:type="character" w:customStyle="1" w:styleId="FooterChar">
    <w:name w:val="Footer Char"/>
    <w:basedOn w:val="DefaultParagraphFont"/>
    <w:link w:val="Footer"/>
    <w:uiPriority w:val="99"/>
    <w:rsid w:val="00422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amsellem@yeshivatmaharat.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wamsellem</dc:creator>
  <cp:lastModifiedBy>wamsellem</cp:lastModifiedBy>
  <cp:revision>2</cp:revision>
  <dcterms:created xsi:type="dcterms:W3CDTF">2022-12-22T05:20:00Z</dcterms:created>
  <dcterms:modified xsi:type="dcterms:W3CDTF">2022-12-22T05:20:00Z</dcterms:modified>
</cp:coreProperties>
</file>